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840" w:leftChars="0" w:firstLine="420" w:firstLineChars="0"/>
        <w:rPr>
          <w:rFonts w:hint="eastAsia"/>
          <w:sz w:val="52"/>
          <w:szCs w:val="52"/>
        </w:rPr>
      </w:pPr>
      <w:bookmarkStart w:id="0" w:name="_Toc14598"/>
      <w:r>
        <w:rPr>
          <w:rFonts w:hint="eastAsia"/>
          <w:sz w:val="52"/>
          <w:szCs w:val="52"/>
          <w:lang w:val="en-US" w:eastAsia="zh-CN"/>
        </w:rPr>
        <w:t>温州市</w:t>
      </w:r>
      <w:r>
        <w:rPr>
          <w:sz w:val="52"/>
          <w:szCs w:val="52"/>
        </w:rPr>
        <w:t>公共机构节能管理</w:t>
      </w:r>
      <w:r>
        <w:rPr>
          <w:rFonts w:hint="eastAsia"/>
          <w:sz w:val="52"/>
          <w:szCs w:val="52"/>
        </w:rPr>
        <w:t>平台</w:t>
      </w:r>
      <w:bookmarkEnd w:id="0"/>
    </w:p>
    <w:p>
      <w:pPr>
        <w:bidi w:val="0"/>
        <w:ind w:left="2940" w:leftChars="0" w:firstLine="420" w:firstLineChars="0"/>
        <w:outlineLvl w:val="9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说明书</w:t>
      </w:r>
    </w:p>
    <w:p>
      <w:pPr>
        <w:bidi w:val="0"/>
        <w:ind w:left="2940" w:leftChars="0" w:firstLine="420" w:firstLineChars="0"/>
        <w:outlineLvl w:val="9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  <w:rPr>
          <w:rFonts w:hint="eastAsia"/>
          <w:b/>
          <w:bCs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676900" cy="374205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840" w:leftChars="0" w:firstLine="420" w:firstLineChars="0"/>
        <w:outlineLvl w:val="9"/>
        <w:rPr>
          <w:rFonts w:hint="eastAsia" w:ascii="Times New Roman" w:hAnsi="Times New Roman" w:eastAsia="华文中宋" w:cs="宋体"/>
          <w:color w:val="000000"/>
          <w:kern w:val="0"/>
          <w:sz w:val="44"/>
          <w:szCs w:val="44"/>
        </w:rPr>
      </w:pPr>
    </w:p>
    <w:p>
      <w:pPr>
        <w:bidi w:val="0"/>
        <w:ind w:left="840" w:leftChars="0" w:firstLine="420" w:firstLineChars="0"/>
        <w:outlineLvl w:val="9"/>
        <w:rPr>
          <w:rFonts w:hint="eastAsia" w:ascii="Times New Roman" w:hAnsi="Times New Roman" w:eastAsia="华文中宋" w:cs="宋体"/>
          <w:color w:val="000000"/>
          <w:kern w:val="0"/>
          <w:sz w:val="44"/>
          <w:szCs w:val="44"/>
        </w:rPr>
      </w:pPr>
    </w:p>
    <w:p>
      <w:pPr>
        <w:bidi w:val="0"/>
        <w:ind w:left="840" w:leftChars="0" w:firstLine="420" w:firstLineChars="0"/>
        <w:outlineLvl w:val="9"/>
        <w:rPr>
          <w:rFonts w:hint="eastAsia" w:ascii="Times New Roman" w:hAnsi="Times New Roman" w:eastAsia="华文中宋" w:cs="宋体"/>
          <w:color w:val="000000"/>
          <w:kern w:val="0"/>
          <w:sz w:val="44"/>
          <w:szCs w:val="44"/>
        </w:rPr>
      </w:pPr>
    </w:p>
    <w:p>
      <w:pPr>
        <w:bidi w:val="0"/>
        <w:ind w:left="840" w:leftChars="0" w:firstLine="420" w:firstLineChars="0"/>
        <w:outlineLvl w:val="0"/>
      </w:pPr>
      <w:bookmarkStart w:id="1" w:name="_Toc29330"/>
      <w:r>
        <w:rPr>
          <w:rFonts w:hint="eastAsia" w:ascii="Times New Roman" w:hAnsi="Times New Roman" w:eastAsia="华文中宋" w:cs="宋体"/>
          <w:color w:val="000000"/>
          <w:kern w:val="0"/>
          <w:sz w:val="44"/>
          <w:szCs w:val="44"/>
        </w:rPr>
        <w:t>浙江力德节能科技有限公司</w:t>
      </w:r>
      <w:bookmarkEnd w:id="1"/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ind w:left="2520" w:leftChars="0" w:firstLine="420" w:firstLineChars="0"/>
        <w:outlineLvl w:val="9"/>
        <w:rPr>
          <w:rFonts w:ascii="Times New Roman" w:hAnsi="Times New Roman" w:eastAsia="华文中宋"/>
          <w:sz w:val="32"/>
          <w:szCs w:val="32"/>
        </w:rPr>
      </w:pPr>
      <w:r>
        <w:rPr>
          <w:rFonts w:hint="eastAsia" w:ascii="Times New Roman" w:hAnsi="Times New Roman" w:eastAsia="华文中宋"/>
          <w:sz w:val="32"/>
          <w:szCs w:val="32"/>
        </w:rPr>
        <w:t>2</w:t>
      </w:r>
      <w:r>
        <w:rPr>
          <w:rFonts w:ascii="Times New Roman" w:hAnsi="Times New Roman" w:eastAsia="华文中宋"/>
          <w:sz w:val="32"/>
          <w:szCs w:val="32"/>
        </w:rPr>
        <w:t>020年1</w:t>
      </w:r>
      <w:r>
        <w:rPr>
          <w:rFonts w:hint="eastAsia" w:ascii="Times New Roman" w:hAnsi="Times New Roman" w:eastAsia="华文中宋"/>
          <w:sz w:val="32"/>
          <w:szCs w:val="32"/>
          <w:lang w:val="en-US" w:eastAsia="zh-CN"/>
        </w:rPr>
        <w:t>2</w:t>
      </w:r>
      <w:r>
        <w:rPr>
          <w:rFonts w:ascii="Times New Roman" w:hAnsi="Times New Roman" w:eastAsia="华文中宋"/>
          <w:sz w:val="32"/>
          <w:szCs w:val="32"/>
        </w:rPr>
        <w:t>月</w:t>
      </w:r>
    </w:p>
    <w:p>
      <w:pPr>
        <w:bidi w:val="0"/>
        <w:ind w:left="2520" w:leftChars="0" w:firstLine="420" w:firstLineChars="0"/>
        <w:outlineLvl w:val="9"/>
        <w:rPr>
          <w:rFonts w:ascii="Times New Roman" w:hAnsi="Times New Roman" w:eastAsia="华文中宋"/>
          <w:sz w:val="32"/>
          <w:szCs w:val="32"/>
        </w:rPr>
      </w:pPr>
    </w:p>
    <w:p>
      <w:pPr>
        <w:bidi w:val="0"/>
        <w:ind w:left="2520" w:leftChars="0" w:firstLine="420" w:firstLineChars="0"/>
        <w:outlineLvl w:val="9"/>
        <w:rPr>
          <w:rFonts w:ascii="Times New Roman" w:hAnsi="Times New Roman" w:eastAsia="华文中宋"/>
          <w:sz w:val="32"/>
          <w:szCs w:val="32"/>
        </w:rPr>
      </w:pPr>
    </w:p>
    <w:p>
      <w:pPr>
        <w:bidi w:val="0"/>
        <w:ind w:left="2520" w:leftChars="0" w:firstLine="420" w:firstLineChars="0"/>
        <w:outlineLvl w:val="9"/>
        <w:rPr>
          <w:rFonts w:ascii="Times New Roman" w:hAnsi="Times New Roman" w:eastAsia="华文中宋"/>
          <w:sz w:val="32"/>
          <w:szCs w:val="32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0749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华文中宋" w:cstheme="minorBidi"/>
          <w:kern w:val="2"/>
          <w:sz w:val="21"/>
          <w:szCs w:val="3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 w:val="32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 w:val="32"/>
              <w:szCs w:val="32"/>
            </w:rPr>
            <w:instrText xml:space="preserve">TOC \o "1-3" \h \u </w:instrText>
          </w:r>
          <w:r>
            <w:rPr>
              <w:rFonts w:ascii="Times New Roman" w:hAnsi="Times New Roman" w:eastAsia="华文中宋"/>
              <w:sz w:val="32"/>
              <w:szCs w:val="32"/>
            </w:rPr>
            <w:fldChar w:fldCharType="separate"/>
          </w: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_Toc14598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szCs w:val="52"/>
              <w:lang w:val="en-US" w:eastAsia="zh-CN"/>
            </w:rPr>
            <w:t>温州市</w:t>
          </w:r>
          <w:r>
            <w:rPr>
              <w:szCs w:val="52"/>
            </w:rPr>
            <w:t>公共机构节能管理</w:t>
          </w:r>
          <w:r>
            <w:rPr>
              <w:rFonts w:hint="eastAsia"/>
              <w:szCs w:val="52"/>
            </w:rPr>
            <w:t>平台</w:t>
          </w:r>
          <w:r>
            <w:tab/>
          </w:r>
          <w:r>
            <w:fldChar w:fldCharType="begin"/>
          </w:r>
          <w:r>
            <w:instrText xml:space="preserve"> PAGEREF _Toc14598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_Toc29330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华文中宋" w:cs="宋体"/>
              <w:kern w:val="0"/>
              <w:szCs w:val="44"/>
            </w:rPr>
            <w:t>浙江力德节能科技有限公司</w:t>
          </w:r>
          <w:r>
            <w:tab/>
          </w:r>
          <w:r>
            <w:fldChar w:fldCharType="begin"/>
          </w:r>
          <w:r>
            <w:instrText xml:space="preserve"> PAGEREF _Toc29330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_Toc26230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/>
              <w:szCs w:val="44"/>
              <w:lang w:val="en-US" w:eastAsia="zh-CN"/>
            </w:rPr>
            <w:t>1登录与总驾驶舱</w:t>
          </w:r>
          <w:r>
            <w:tab/>
          </w:r>
          <w:r>
            <w:fldChar w:fldCharType="begin"/>
          </w:r>
          <w:r>
            <w:instrText xml:space="preserve"> PAGEREF _Toc26230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_Toc29470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</w:rPr>
            <w:t>2</w:t>
          </w:r>
          <w:r>
            <w:rPr>
              <w:rFonts w:hint="eastAsia"/>
              <w:lang w:val="en-US" w:eastAsia="zh-CN"/>
            </w:rPr>
            <w:t>能源资源管理</w:t>
          </w:r>
          <w:r>
            <w:tab/>
          </w:r>
          <w:r>
            <w:fldChar w:fldCharType="begin"/>
          </w:r>
          <w:r>
            <w:instrText xml:space="preserve"> PAGEREF _Toc29470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_Toc30301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</w:rPr>
            <w:t>2.1</w:t>
          </w:r>
          <w:r>
            <w:rPr>
              <w:rFonts w:hint="eastAsia"/>
              <w:lang w:val="en-US" w:eastAsia="zh-CN"/>
            </w:rPr>
            <w:t>能耗监测</w:t>
          </w:r>
          <w:r>
            <w:tab/>
          </w:r>
          <w:r>
            <w:fldChar w:fldCharType="begin"/>
          </w:r>
          <w:r>
            <w:instrText xml:space="preserve"> PAGEREF _Toc30301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_Toc2666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</w:rPr>
            <w:t>2.2能耗</w:t>
          </w:r>
          <w:r>
            <w:rPr>
              <w:rFonts w:hint="eastAsia"/>
              <w:lang w:val="en-US" w:eastAsia="zh-CN"/>
            </w:rPr>
            <w:t>分析</w:t>
          </w:r>
          <w:r>
            <w:tab/>
          </w:r>
          <w:r>
            <w:fldChar w:fldCharType="begin"/>
          </w:r>
          <w:r>
            <w:instrText xml:space="preserve"> PAGEREF _Toc2666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_Toc26775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2.2.1趋势分析</w:t>
          </w:r>
          <w:r>
            <w:tab/>
          </w:r>
          <w:r>
            <w:fldChar w:fldCharType="begin"/>
          </w:r>
          <w:r>
            <w:instrText xml:space="preserve"> PAGEREF _Toc26775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_Toc25603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2.2.2占比分析</w:t>
          </w:r>
          <w:r>
            <w:tab/>
          </w:r>
          <w:r>
            <w:fldChar w:fldCharType="begin"/>
          </w:r>
          <w:r>
            <w:instrText xml:space="preserve"> PAGEREF _Toc25603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_Toc16664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2.2.3对标/定额分析</w:t>
          </w:r>
          <w:r>
            <w:tab/>
          </w:r>
          <w:r>
            <w:fldChar w:fldCharType="begin"/>
          </w:r>
          <w:r>
            <w:instrText xml:space="preserve"> PAGEREF _Toc16664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_Toc18496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2.3能耗预警</w:t>
          </w:r>
          <w:r>
            <w:tab/>
          </w:r>
          <w:r>
            <w:fldChar w:fldCharType="begin"/>
          </w:r>
          <w:r>
            <w:instrText xml:space="preserve"> PAGEREF _Toc18496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_Toc29249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2.3.1能耗预警查询</w:t>
          </w:r>
          <w:r>
            <w:tab/>
          </w:r>
          <w:r>
            <w:fldChar w:fldCharType="begin"/>
          </w:r>
          <w:r>
            <w:instrText xml:space="preserve"> PAGEREF _Toc29249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_Toc9661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2.3.2能耗预警配置</w:t>
          </w:r>
          <w:r>
            <w:tab/>
          </w:r>
          <w:r>
            <w:fldChar w:fldCharType="begin"/>
          </w:r>
          <w:r>
            <w:instrText xml:space="preserve"> PAGEREF _Toc9661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_Toc26367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2.4能耗诊断</w:t>
          </w:r>
          <w:r>
            <w:tab/>
          </w:r>
          <w:r>
            <w:fldChar w:fldCharType="begin"/>
          </w:r>
          <w:r>
            <w:instrText xml:space="preserve"> PAGEREF _Toc26367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_Toc32650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3节能专项管理</w:t>
          </w:r>
          <w:r>
            <w:tab/>
          </w:r>
          <w:r>
            <w:fldChar w:fldCharType="begin"/>
          </w:r>
          <w:r>
            <w:instrText xml:space="preserve"> PAGEREF _Toc32650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_Toc4773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3.1节能专项信息管理</w:t>
          </w:r>
          <w:r>
            <w:tab/>
          </w:r>
          <w:r>
            <w:fldChar w:fldCharType="begin"/>
          </w:r>
          <w:r>
            <w:instrText xml:space="preserve"> PAGEREF _Toc4773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_Toc11787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4双碳应用</w:t>
          </w:r>
          <w:r>
            <w:tab/>
          </w:r>
          <w:r>
            <w:fldChar w:fldCharType="begin"/>
          </w:r>
          <w:r>
            <w:instrText xml:space="preserve"> PAGEREF _Toc11787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_Toc23783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4.1碳排放源管理</w:t>
          </w:r>
          <w:r>
            <w:tab/>
          </w:r>
          <w:r>
            <w:fldChar w:fldCharType="begin"/>
          </w:r>
          <w:r>
            <w:instrText xml:space="preserve"> PAGEREF _Toc23783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_Toc3993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4.2机构碳盘查</w:t>
          </w:r>
          <w:r>
            <w:tab/>
          </w:r>
          <w:r>
            <w:fldChar w:fldCharType="begin"/>
          </w:r>
          <w:r>
            <w:instrText xml:space="preserve"> PAGEREF _Toc3993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_Toc12898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4.3碳排放统计分析</w:t>
          </w:r>
          <w:r>
            <w:tab/>
          </w:r>
          <w:r>
            <w:fldChar w:fldCharType="begin"/>
          </w:r>
          <w:r>
            <w:instrText xml:space="preserve"> PAGEREF _Toc12898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_Toc28512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4.3.1碳排放统计</w:t>
          </w:r>
          <w:r>
            <w:tab/>
          </w:r>
          <w:r>
            <w:fldChar w:fldCharType="begin"/>
          </w:r>
          <w:r>
            <w:instrText xml:space="preserve"> PAGEREF _Toc28512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_Toc1671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4.3.2碳排放对标分析</w:t>
          </w:r>
          <w:r>
            <w:tab/>
          </w:r>
          <w:r>
            <w:fldChar w:fldCharType="begin"/>
          </w:r>
          <w:r>
            <w:instrText xml:space="preserve"> PAGEREF _Toc1671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_Toc23579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4.3.3碳排放源结构分析</w:t>
          </w:r>
          <w:r>
            <w:tab/>
          </w:r>
          <w:r>
            <w:fldChar w:fldCharType="begin"/>
          </w:r>
          <w:r>
            <w:instrText xml:space="preserve"> PAGEREF _Toc23579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_Toc14840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4.4碳足迹计算器</w:t>
          </w:r>
          <w:r>
            <w:tab/>
          </w:r>
          <w:r>
            <w:fldChar w:fldCharType="begin"/>
          </w:r>
          <w:r>
            <w:instrText xml:space="preserve"> PAGEREF _Toc14840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_Toc13706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4.5碳排放排名</w:t>
          </w:r>
          <w:r>
            <w:tab/>
          </w:r>
          <w:r>
            <w:fldChar w:fldCharType="begin"/>
          </w:r>
          <w:r>
            <w:instrText xml:space="preserve"> PAGEREF _Toc13706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_Toc12424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5报表管理</w:t>
          </w:r>
          <w:r>
            <w:tab/>
          </w:r>
          <w:r>
            <w:fldChar w:fldCharType="begin"/>
          </w:r>
          <w:r>
            <w:instrText xml:space="preserve"> PAGEREF _Toc12424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_Toc12003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5.1自定义报表</w:t>
          </w:r>
          <w:r>
            <w:tab/>
          </w:r>
          <w:r>
            <w:fldChar w:fldCharType="begin"/>
          </w:r>
          <w:r>
            <w:instrText xml:space="preserve"> PAGEREF _Toc12003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_Toc31871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5.2常用报表</w:t>
          </w:r>
          <w:r>
            <w:tab/>
          </w:r>
          <w:r>
            <w:fldChar w:fldCharType="begin"/>
          </w:r>
          <w:r>
            <w:instrText xml:space="preserve"> PAGEREF _Toc31871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_Toc13713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6考核管理</w:t>
          </w:r>
          <w:r>
            <w:tab/>
          </w:r>
          <w:r>
            <w:fldChar w:fldCharType="begin"/>
          </w:r>
          <w:r>
            <w:instrText xml:space="preserve"> PAGEREF _Toc13713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_Toc28891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6.1考核标准管理</w:t>
          </w:r>
          <w:r>
            <w:tab/>
          </w:r>
          <w:r>
            <w:fldChar w:fldCharType="begin"/>
          </w:r>
          <w:r>
            <w:instrText xml:space="preserve"> PAGEREF _Toc28891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_Toc26349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6.2考核任务设置与下发</w:t>
          </w:r>
          <w:r>
            <w:tab/>
          </w:r>
          <w:r>
            <w:fldChar w:fldCharType="begin"/>
          </w:r>
          <w:r>
            <w:instrText xml:space="preserve"> PAGEREF _Toc26349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_Toc15001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6.3参评单位确认与通知</w:t>
          </w:r>
          <w:r>
            <w:tab/>
          </w:r>
          <w:r>
            <w:fldChar w:fldCharType="begin"/>
          </w:r>
          <w:r>
            <w:instrText xml:space="preserve"> PAGEREF _Toc15001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_Toc21730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6.4专家审评</w:t>
          </w:r>
          <w:r>
            <w:tab/>
          </w:r>
          <w:r>
            <w:fldChar w:fldCharType="begin"/>
          </w:r>
          <w:r>
            <w:instrText xml:space="preserve"> PAGEREF _Toc21730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_Toc24911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6.5工作通知管理</w:t>
          </w:r>
          <w:r>
            <w:tab/>
          </w:r>
          <w:r>
            <w:fldChar w:fldCharType="begin"/>
          </w:r>
          <w:r>
            <w:instrText xml:space="preserve"> PAGEREF _Toc24911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_Toc6300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6.6业务资料库</w:t>
          </w:r>
          <w:r>
            <w:tab/>
          </w:r>
          <w:r>
            <w:fldChar w:fldCharType="begin"/>
          </w:r>
          <w:r>
            <w:instrText xml:space="preserve"> PAGEREF _Toc6300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_Toc20901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6.7考核工作总览</w:t>
          </w:r>
          <w:r>
            <w:tab/>
          </w:r>
          <w:r>
            <w:fldChar w:fldCharType="begin"/>
          </w:r>
          <w:r>
            <w:instrText xml:space="preserve"> PAGEREF _Toc20901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_Toc27564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6.8考核结果核查</w:t>
          </w:r>
          <w:r>
            <w:tab/>
          </w:r>
          <w:r>
            <w:fldChar w:fldCharType="begin"/>
          </w:r>
          <w:r>
            <w:instrText xml:space="preserve"> PAGEREF _Toc27564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_Toc26723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6.9专家信息管理</w:t>
          </w:r>
          <w:r>
            <w:tab/>
          </w:r>
          <w:r>
            <w:fldChar w:fldCharType="begin"/>
          </w:r>
          <w:r>
            <w:instrText xml:space="preserve"> PAGEREF _Toc26723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_Toc839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7基础功能管理</w:t>
          </w:r>
          <w:r>
            <w:tab/>
          </w:r>
          <w:r>
            <w:fldChar w:fldCharType="begin"/>
          </w:r>
          <w:r>
            <w:instrText xml:space="preserve"> PAGEREF _Toc839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_Toc27445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7.1系统重要参数配置</w:t>
          </w:r>
          <w:r>
            <w:tab/>
          </w:r>
          <w:r>
            <w:fldChar w:fldCharType="begin"/>
          </w:r>
          <w:r>
            <w:instrText xml:space="preserve"> PAGEREF _Toc27445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_Toc1675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7.2用户角色管理</w:t>
          </w:r>
          <w:r>
            <w:tab/>
          </w:r>
          <w:r>
            <w:fldChar w:fldCharType="begin"/>
          </w:r>
          <w:r>
            <w:instrText xml:space="preserve"> PAGEREF _Toc1675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_Toc1112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7.3机构名录库管理</w:t>
          </w:r>
          <w:r>
            <w:tab/>
          </w:r>
          <w:r>
            <w:fldChar w:fldCharType="begin"/>
          </w:r>
          <w:r>
            <w:instrText xml:space="preserve"> PAGEREF _Toc1112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_Toc32756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7.4日志管理</w:t>
          </w:r>
          <w:r>
            <w:tab/>
          </w:r>
          <w:r>
            <w:fldChar w:fldCharType="begin"/>
          </w:r>
          <w:r>
            <w:instrText xml:space="preserve"> PAGEREF _Toc32756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_Toc16578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7.5业务信息管理配置</w:t>
          </w:r>
          <w:r>
            <w:tab/>
          </w:r>
          <w:r>
            <w:fldChar w:fldCharType="begin"/>
          </w:r>
          <w:r>
            <w:instrText xml:space="preserve"> PAGEREF _Toc16578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_Toc27492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7.6数据对接</w:t>
          </w:r>
          <w:r>
            <w:tab/>
          </w:r>
          <w:r>
            <w:fldChar w:fldCharType="begin"/>
          </w:r>
          <w:r>
            <w:instrText xml:space="preserve"> PAGEREF _Toc27492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_Toc19595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7.6.1国网专用服务</w:t>
          </w:r>
          <w:r>
            <w:tab/>
          </w:r>
          <w:r>
            <w:fldChar w:fldCharType="begin"/>
          </w:r>
          <w:r>
            <w:instrText xml:space="preserve"> PAGEREF _Toc19595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_Toc19811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7.6.2省统建系统</w:t>
          </w:r>
          <w:r>
            <w:tab/>
          </w:r>
          <w:r>
            <w:fldChar w:fldCharType="begin"/>
          </w:r>
          <w:r>
            <w:instrText xml:space="preserve"> PAGEREF _Toc19811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_Toc18335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7.7数据看板</w:t>
          </w:r>
          <w:r>
            <w:tab/>
          </w:r>
          <w:r>
            <w:fldChar w:fldCharType="begin"/>
          </w:r>
          <w:r>
            <w:instrText xml:space="preserve"> PAGEREF _Toc18335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_Toc26000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/>
              <w:lang w:val="en-US" w:eastAsia="zh-CN"/>
            </w:rPr>
            <w:t>8能源项目管理</w:t>
          </w:r>
          <w:r>
            <w:tab/>
          </w:r>
          <w:r>
            <w:fldChar w:fldCharType="begin"/>
          </w:r>
          <w:r>
            <w:instrText xml:space="preserve"> PAGEREF _Toc26000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_Toc7426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8.1项目总览</w:t>
          </w:r>
          <w:r>
            <w:tab/>
          </w:r>
          <w:r>
            <w:fldChar w:fldCharType="begin"/>
          </w:r>
          <w:r>
            <w:instrText xml:space="preserve"> PAGEREF _Toc7426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_Toc23887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8.2节能效果分析</w:t>
          </w:r>
          <w:r>
            <w:tab/>
          </w:r>
          <w:r>
            <w:fldChar w:fldCharType="begin"/>
          </w:r>
          <w:r>
            <w:instrText xml:space="preserve"> PAGEREF _Toc23887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_Toc22828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8.3项目类型统计</w:t>
          </w:r>
          <w:r>
            <w:tab/>
          </w:r>
          <w:r>
            <w:fldChar w:fldCharType="begin"/>
          </w:r>
          <w:r>
            <w:instrText xml:space="preserve"> PAGEREF _Toc22828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_Toc7484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8.4自动抄表查询</w:t>
          </w:r>
          <w:r>
            <w:tab/>
          </w:r>
          <w:r>
            <w:fldChar w:fldCharType="begin"/>
          </w:r>
          <w:r>
            <w:instrText xml:space="preserve"> PAGEREF _Toc7484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_Toc8261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8.5能效基数管理</w:t>
          </w:r>
          <w:r>
            <w:tab/>
          </w:r>
          <w:r>
            <w:fldChar w:fldCharType="begin"/>
          </w:r>
          <w:r>
            <w:instrText xml:space="preserve"> PAGEREF _Toc8261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_Toc1776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8.6项目档案管理</w:t>
          </w:r>
          <w:r>
            <w:tab/>
          </w:r>
          <w:r>
            <w:fldChar w:fldCharType="begin"/>
          </w:r>
          <w:r>
            <w:instrText xml:space="preserve"> PAGEREF _Toc1776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ascii="Times New Roman" w:hAnsi="Times New Roman" w:eastAsia="华文中宋"/>
              <w:szCs w:val="32"/>
            </w:rPr>
            <w:fldChar w:fldCharType="begin"/>
          </w:r>
          <w:r>
            <w:rPr>
              <w:rFonts w:ascii="Times New Roman" w:hAnsi="Times New Roman" w:eastAsia="华文中宋"/>
              <w:szCs w:val="32"/>
            </w:rPr>
            <w:instrText xml:space="preserve"> HYPERLINK \l _Toc11084 </w:instrText>
          </w:r>
          <w:r>
            <w:rPr>
              <w:rFonts w:ascii="Times New Roman" w:hAnsi="Times New Roman" w:eastAsia="华文中宋"/>
              <w:szCs w:val="32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lang w:val="en-US" w:eastAsia="zh-CN"/>
            </w:rPr>
            <w:t>8.7服务商管理</w:t>
          </w:r>
          <w:r>
            <w:tab/>
          </w:r>
          <w:r>
            <w:fldChar w:fldCharType="begin"/>
          </w:r>
          <w:r>
            <w:instrText xml:space="preserve"> PAGEREF _Toc11084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  <w:p>
          <w:pPr>
            <w:bidi w:val="0"/>
            <w:ind w:left="2520" w:leftChars="0" w:firstLine="420" w:firstLineChars="0"/>
            <w:outlineLvl w:val="9"/>
            <w:rPr>
              <w:rFonts w:ascii="Times New Roman" w:hAnsi="Times New Roman" w:eastAsia="华文中宋"/>
              <w:sz w:val="32"/>
              <w:szCs w:val="32"/>
            </w:rPr>
          </w:pPr>
          <w:r>
            <w:rPr>
              <w:rFonts w:ascii="Times New Roman" w:hAnsi="Times New Roman" w:eastAsia="华文中宋"/>
              <w:szCs w:val="32"/>
            </w:rPr>
            <w:fldChar w:fldCharType="end"/>
          </w:r>
        </w:p>
      </w:sdtContent>
    </w:sdt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pStyle w:val="2"/>
        <w:spacing w:before="180" w:beforeLines="-2147483648" w:beforeAutospacing="0" w:after="180" w:afterLines="-2147483648" w:afterAutospacing="0" w:line="240" w:lineRule="auto"/>
        <w:rPr>
          <w:rFonts w:hint="eastAsia" w:ascii="Times New Roman" w:hAnsi="Times New Roman" w:eastAsia="宋体" w:cs="Times New Roman"/>
          <w:b/>
          <w:bCs/>
          <w:sz w:val="32"/>
          <w:szCs w:val="44"/>
          <w:lang w:val="en-US" w:eastAsia="zh-CN"/>
        </w:rPr>
      </w:pPr>
      <w:bookmarkStart w:id="2" w:name="_Toc26230"/>
      <w:r>
        <w:rPr>
          <w:rFonts w:hint="eastAsia" w:ascii="Times New Roman" w:hAnsi="Times New Roman" w:eastAsia="宋体" w:cs="Times New Roman"/>
          <w:b/>
          <w:bCs/>
          <w:sz w:val="32"/>
          <w:szCs w:val="44"/>
          <w:lang w:val="en-US" w:eastAsia="zh-CN"/>
        </w:rPr>
        <w:t>1登录与总驾驶舱</w:t>
      </w:r>
      <w:bookmarkEnd w:id="2"/>
    </w:p>
    <w:p>
      <w:pPr>
        <w:pStyle w:val="3"/>
        <w:spacing w:before="62" w:after="6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登录界面示例</w:t>
      </w:r>
      <w:r>
        <w:rPr>
          <w:rFonts w:hint="eastAsia"/>
        </w:rPr>
        <w:t>效果图如下：</w:t>
      </w:r>
    </w:p>
    <w:p>
      <w:pPr>
        <w:bidi w:val="0"/>
        <w:outlineLvl w:val="9"/>
      </w:pPr>
      <w:r>
        <w:drawing>
          <wp:inline distT="0" distB="0" distL="114300" distR="114300">
            <wp:extent cx="5266690" cy="25482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156" w:after="156"/>
      </w:pPr>
      <w:r>
        <w:rPr>
          <w:rFonts w:hint="eastAsia"/>
        </w:rPr>
        <w:t>登录页面</w:t>
      </w:r>
    </w:p>
    <w:p>
      <w:pPr>
        <w:pStyle w:val="3"/>
        <w:spacing w:before="62" w:after="62"/>
        <w:rPr>
          <w:rFonts w:hint="eastAsia"/>
        </w:rPr>
      </w:pPr>
      <w:r>
        <w:rPr>
          <w:rFonts w:hint="eastAsia"/>
        </w:rPr>
        <w:t>在登录界面，输入用户名和密码，单击</w:t>
      </w:r>
      <w:r>
        <w:drawing>
          <wp:inline distT="0" distB="0" distL="114300" distR="114300">
            <wp:extent cx="733425" cy="323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按钮即可，如果登录失败会有相应的提示信息。如果是本地电脑，可以在</w:t>
      </w:r>
      <w:r>
        <w:rPr>
          <w:rFonts w:hint="eastAsia"/>
        </w:rPr>
        <w:drawing>
          <wp:inline distT="0" distB="0" distL="0" distR="0">
            <wp:extent cx="923290" cy="231140"/>
            <wp:effectExtent l="0" t="0" r="10160" b="16510"/>
            <wp:docPr id="1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23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勾先记住密码，这样可以免用户密码输入即可登录系统。</w:t>
      </w:r>
    </w:p>
    <w:p>
      <w:pPr>
        <w:pStyle w:val="3"/>
        <w:ind w:left="0" w:leftChars="0" w:firstLine="42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总驾驶舱效果图如下：</w:t>
      </w:r>
    </w:p>
    <w:p>
      <w:pPr>
        <w:pStyle w:val="3"/>
        <w:spacing w:before="62" w:after="62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69865" cy="2999740"/>
            <wp:effectExtent l="0" t="0" r="698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156" w:after="156"/>
      </w:pPr>
      <w:r>
        <w:rPr>
          <w:rFonts w:hint="eastAsia"/>
          <w:lang w:eastAsia="zh-CN"/>
        </w:rPr>
        <w:t>总驾驶舱</w:t>
      </w:r>
      <w:r>
        <w:rPr>
          <w:rFonts w:hint="eastAsia"/>
        </w:rPr>
        <w:t>页面</w:t>
      </w:r>
    </w:p>
    <w:p>
      <w:pPr>
        <w:bidi w:val="0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在总驾驶舱页面中，</w:t>
      </w:r>
      <w:r>
        <w:rPr>
          <w:rFonts w:hint="eastAsia"/>
          <w:lang w:val="en-US" w:eastAsia="zh-CN"/>
        </w:rPr>
        <w:t>包括了公共机构基本信息、资源消耗、零碳公共机构、清洁能源、示范创建合同能源、示范案例、能耗信息</w:t>
      </w:r>
      <w:r>
        <w:rPr>
          <w:rFonts w:hint="eastAsia"/>
          <w:lang w:eastAsia="zh-CN"/>
        </w:rPr>
        <w:t>等相关系统数据以一个页面的形式呈现出来。</w:t>
      </w:r>
      <w:r>
        <w:rPr>
          <w:rFonts w:hint="eastAsia"/>
          <w:lang w:val="en-US" w:eastAsia="zh-CN"/>
        </w:rPr>
        <w:t>点击上方市区名称可切换至下级信息页面，点击年份可查看以往年份数据。</w:t>
      </w: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</w:t>
      </w:r>
      <w:r>
        <w:drawing>
          <wp:inline distT="0" distB="0" distL="114300" distR="114300">
            <wp:extent cx="685800" cy="285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即可进入控制中心界面:</w:t>
      </w:r>
    </w:p>
    <w:p>
      <w:pPr>
        <w:bidi w:val="0"/>
        <w:outlineLvl w:val="9"/>
      </w:pPr>
      <w:r>
        <w:drawing>
          <wp:inline distT="0" distB="0" distL="114300" distR="114300">
            <wp:extent cx="5264785" cy="2964180"/>
            <wp:effectExtent l="0" t="0" r="1206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628650" cy="247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可进入能耗管理界面：</w:t>
      </w:r>
    </w:p>
    <w:p>
      <w:pPr>
        <w:bidi w:val="0"/>
        <w:outlineLvl w:val="9"/>
      </w:pPr>
      <w:r>
        <w:drawing>
          <wp:inline distT="0" distB="0" distL="114300" distR="114300">
            <wp:extent cx="5266690" cy="2548255"/>
            <wp:effectExtent l="0" t="0" r="1016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657225" cy="2381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即可退出当前账号至登录界面。</w:t>
      </w: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15043"/>
      <w:bookmarkStart w:id="4" w:name="_Toc29470"/>
      <w:r>
        <w:rPr>
          <w:rFonts w:hint="eastAsia"/>
        </w:rPr>
        <w:t>2</w:t>
      </w:r>
      <w:bookmarkEnd w:id="3"/>
      <w:r>
        <w:rPr>
          <w:rFonts w:hint="eastAsia"/>
          <w:lang w:val="en-US" w:eastAsia="zh-CN"/>
        </w:rPr>
        <w:t>能源资源管理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27618"/>
      <w:bookmarkStart w:id="6" w:name="_Toc30301"/>
      <w:r>
        <w:rPr>
          <w:rFonts w:hint="eastAsia"/>
        </w:rPr>
        <w:t>2.1</w:t>
      </w:r>
      <w:bookmarkEnd w:id="5"/>
      <w:r>
        <w:rPr>
          <w:rFonts w:hint="eastAsia"/>
          <w:lang w:val="en-US" w:eastAsia="zh-CN"/>
        </w:rPr>
        <w:t>能耗监测</w:t>
      </w:r>
      <w:bookmarkEnd w:id="6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可按照机构上下级关系、机构类型根基资源分项类型，时间刻度开始时间查询选择对象能耗进行分析。点击</w:t>
      </w:r>
      <w:r>
        <w:drawing>
          <wp:inline distT="0" distB="0" distL="114300" distR="114300">
            <wp:extent cx="857250" cy="295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可生成表格。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48255"/>
            <wp:effectExtent l="0" t="0" r="1016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7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能耗监测页面</w:t>
      </w:r>
    </w:p>
    <w:p>
      <w:pPr>
        <w:pStyle w:val="4"/>
        <w:rPr>
          <w:rFonts w:hint="eastAsia" w:eastAsia="黑体"/>
          <w:lang w:val="en-US" w:eastAsia="zh-CN"/>
        </w:rPr>
      </w:pPr>
      <w:bookmarkStart w:id="7" w:name="_Toc24167"/>
      <w:bookmarkStart w:id="8" w:name="_Toc2666"/>
      <w:r>
        <w:rPr>
          <w:rFonts w:hint="eastAsia"/>
        </w:rPr>
        <w:t>2.2能耗</w:t>
      </w:r>
      <w:bookmarkEnd w:id="7"/>
      <w:r>
        <w:rPr>
          <w:rFonts w:hint="eastAsia"/>
          <w:lang w:val="en-US" w:eastAsia="zh-CN"/>
        </w:rPr>
        <w:t>分析</w:t>
      </w:r>
      <w:bookmarkEnd w:id="8"/>
    </w:p>
    <w:p>
      <w:pPr>
        <w:pStyle w:val="5"/>
        <w:rPr>
          <w:rFonts w:hint="default" w:ascii="Times New Roman" w:hAnsi="Times New Roman" w:eastAsia="宋体" w:cs="Times New Roman"/>
          <w:lang w:val="en-US" w:eastAsia="zh-CN"/>
        </w:rPr>
      </w:pPr>
      <w:bookmarkStart w:id="9" w:name="_Toc26775"/>
      <w:r>
        <w:rPr>
          <w:rFonts w:hint="eastAsia" w:ascii="Times New Roman" w:hAnsi="Times New Roman" w:eastAsia="宋体" w:cs="Times New Roman"/>
          <w:lang w:val="en-US" w:eastAsia="zh-CN"/>
        </w:rPr>
        <w:t>2.2.1趋势分析</w:t>
      </w:r>
      <w:bookmarkEnd w:id="9"/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左侧选择需要查询对象，也可通过搜索框快速查询对象，按照同比/环比/自由对比选择分析类型选择年份对选择内容进行分析并生成数据。</w:t>
      </w:r>
    </w:p>
    <w:p>
      <w:pPr>
        <w:bidi w:val="0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1047750" cy="304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展开更多条件类型根据需要查询内容勾选相对应类型生成数据表。</w:t>
      </w:r>
    </w:p>
    <w:p>
      <w:pPr>
        <w:bidi w:val="0"/>
        <w:ind w:firstLine="420" w:firstLineChars="0"/>
        <w:outlineLvl w:val="9"/>
      </w:pPr>
      <w:r>
        <w:drawing>
          <wp:inline distT="0" distB="0" distL="114300" distR="114300">
            <wp:extent cx="5267960" cy="1008380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420" w:leftChars="0"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点击下方柱形统计图可详细查看信息，点击数据表格可按照升序/倒叙排列。</w:t>
      </w:r>
    </w:p>
    <w:p>
      <w:pPr>
        <w:bidi w:val="0"/>
        <w:outlineLvl w:val="9"/>
      </w:pPr>
      <w:r>
        <w:drawing>
          <wp:inline distT="0" distB="0" distL="114300" distR="114300">
            <wp:extent cx="5264150" cy="2689860"/>
            <wp:effectExtent l="0" t="0" r="1270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3780" w:leftChars="0"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趋势分析页面</w:t>
      </w:r>
    </w:p>
    <w:p>
      <w:pPr>
        <w:bidi w:val="0"/>
        <w:ind w:firstLine="420" w:firstLineChars="0"/>
        <w:outlineLvl w:val="9"/>
      </w:pPr>
    </w:p>
    <w:p>
      <w:pPr>
        <w:pStyle w:val="5"/>
        <w:rPr>
          <w:rFonts w:hint="default" w:ascii="Times New Roman" w:hAnsi="Times New Roman" w:eastAsia="宋体" w:cs="Times New Roman"/>
          <w:lang w:val="en-US" w:eastAsia="zh-CN"/>
        </w:rPr>
      </w:pPr>
      <w:bookmarkStart w:id="10" w:name="_Toc25603"/>
      <w:r>
        <w:rPr>
          <w:rFonts w:hint="eastAsia" w:ascii="Times New Roman" w:hAnsi="Times New Roman" w:eastAsia="宋体" w:cs="Times New Roman"/>
          <w:lang w:val="en-US" w:eastAsia="zh-CN"/>
        </w:rPr>
        <w:t>2.2.2占比分析</w:t>
      </w:r>
      <w:bookmarkEnd w:id="10"/>
    </w:p>
    <w:p>
      <w:pPr>
        <w:bidi w:val="0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根据勾选机构内容，按照资源类型（水、电、燃气）时间段（月、年）查询资源消费总量变化趋势。</w:t>
      </w:r>
    </w:p>
    <w:p>
      <w:pPr>
        <w:bidi w:val="0"/>
        <w:outlineLvl w:val="9"/>
      </w:pPr>
      <w:r>
        <w:drawing>
          <wp:inline distT="0" distB="0" distL="114300" distR="114300">
            <wp:extent cx="5266690" cy="2548255"/>
            <wp:effectExtent l="0" t="0" r="1016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占比分析页面</w:t>
      </w:r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11" w:name="_Toc16664"/>
      <w:r>
        <w:rPr>
          <w:rFonts w:hint="eastAsia" w:ascii="Times New Roman" w:hAnsi="Times New Roman" w:eastAsia="宋体" w:cs="Times New Roman"/>
          <w:lang w:val="en-US" w:eastAsia="zh-CN"/>
        </w:rPr>
        <w:t>2.2.3对标/定额分析</w:t>
      </w:r>
      <w:bookmarkEnd w:id="11"/>
    </w:p>
    <w:p>
      <w:pPr>
        <w:pStyle w:val="3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选择查询机构，勾选需要分析年份对比参照标准，选择能耗指标类型按照区域查询分类机构达标情况。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能耗对标分析页面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能耗定额分析页面</w:t>
      </w:r>
    </w:p>
    <w:p>
      <w:pPr>
        <w:pStyle w:val="4"/>
        <w:rPr>
          <w:rFonts w:hint="default"/>
          <w:lang w:val="en-US" w:eastAsia="zh-CN"/>
        </w:rPr>
      </w:pPr>
      <w:bookmarkStart w:id="12" w:name="_Toc18496"/>
      <w:r>
        <w:rPr>
          <w:rFonts w:hint="eastAsia"/>
          <w:lang w:val="en-US" w:eastAsia="zh-CN"/>
        </w:rPr>
        <w:t>2.3能耗预警</w:t>
      </w:r>
      <w:bookmarkEnd w:id="12"/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13" w:name="_Toc29249"/>
      <w:r>
        <w:rPr>
          <w:rFonts w:hint="eastAsia" w:ascii="Times New Roman" w:hAnsi="Times New Roman" w:eastAsia="宋体" w:cs="Times New Roman"/>
          <w:lang w:val="en-US" w:eastAsia="zh-CN"/>
        </w:rPr>
        <w:t>2.3.1能耗预警查询</w:t>
      </w:r>
      <w:bookmarkEnd w:id="13"/>
    </w:p>
    <w:p>
      <w:pPr>
        <w:pStyle w:val="3"/>
      </w:pPr>
      <w:r>
        <w:rPr>
          <w:rFonts w:hint="eastAsia"/>
          <w:lang w:val="en-US" w:eastAsia="zh-CN"/>
        </w:rPr>
        <w:t>根据设置能耗预警显示超出设置标准预警项。（无数据不展示）</w:t>
      </w:r>
      <w:r>
        <w:drawing>
          <wp:inline distT="0" distB="0" distL="114300" distR="114300">
            <wp:extent cx="5266690" cy="2548255"/>
            <wp:effectExtent l="0" t="0" r="10160" b="4445"/>
            <wp:docPr id="8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能耗预警查询页面</w:t>
      </w:r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14" w:name="_Toc9661"/>
      <w:r>
        <w:rPr>
          <w:rFonts w:hint="eastAsia" w:ascii="Times New Roman" w:hAnsi="Times New Roman" w:eastAsia="宋体" w:cs="Times New Roman"/>
          <w:lang w:val="en-US" w:eastAsia="zh-CN"/>
        </w:rPr>
        <w:t>2.3.2能耗预警配置</w:t>
      </w:r>
      <w:bookmarkEnd w:id="14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按照机构上下级，机构类型选择具体机构设置能耗预警配置。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能耗预警配置页面</w:t>
      </w:r>
    </w:p>
    <w:p>
      <w:pPr>
        <w:pStyle w:val="4"/>
        <w:rPr>
          <w:rFonts w:hint="eastAsia"/>
          <w:lang w:val="en-US" w:eastAsia="zh-CN"/>
        </w:rPr>
      </w:pPr>
      <w:bookmarkStart w:id="15" w:name="_Toc26367"/>
      <w:r>
        <w:rPr>
          <w:rFonts w:hint="eastAsia"/>
          <w:lang w:val="en-US" w:eastAsia="zh-CN"/>
        </w:rPr>
        <w:t>2.4能耗诊断</w:t>
      </w:r>
      <w:bookmarkEnd w:id="15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选择不同机构、类型、分析内容，时间开始结束年份查询</w:t>
      </w: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48255"/>
            <wp:effectExtent l="0" t="0" r="10160" b="444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8" w:name="_GoBack"/>
      <w:bookmarkEnd w:id="58"/>
    </w:p>
    <w:p>
      <w:pPr>
        <w:pStyle w:val="2"/>
        <w:rPr>
          <w:rFonts w:hint="eastAsia"/>
          <w:b/>
          <w:lang w:val="en-US" w:eastAsia="zh-CN"/>
        </w:rPr>
      </w:pPr>
      <w:bookmarkStart w:id="16" w:name="_Toc32650"/>
      <w:r>
        <w:rPr>
          <w:rFonts w:hint="eastAsia"/>
          <w:b/>
          <w:lang w:val="en-US" w:eastAsia="zh-CN"/>
        </w:rPr>
        <w:t>3节能专项管理</w:t>
      </w:r>
      <w:bookmarkEnd w:id="16"/>
    </w:p>
    <w:p>
      <w:pPr>
        <w:pStyle w:val="4"/>
        <w:rPr>
          <w:rFonts w:hint="eastAsia"/>
          <w:lang w:val="en-US" w:eastAsia="zh-CN"/>
        </w:rPr>
      </w:pPr>
      <w:bookmarkStart w:id="17" w:name="_Toc4773"/>
      <w:r>
        <w:rPr>
          <w:rFonts w:hint="eastAsia"/>
          <w:lang w:val="en-US" w:eastAsia="zh-CN"/>
        </w:rPr>
        <w:t>3.1节能专项信息管理</w:t>
      </w:r>
      <w:bookmarkEnd w:id="17"/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勾选需要查看或新增区县，点击</w:t>
      </w:r>
      <w:r>
        <w:drawing>
          <wp:inline distT="0" distB="0" distL="114300" distR="114300">
            <wp:extent cx="895350" cy="333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入小窗界面，左侧选择需要新增的机构名称，也可使用快速查询查询需要选择对象，输入对应信息可按照不同项目类别新增（重点用能单位、能耗精细化管理、重点用能设备）来创建节能项，输入信息化系统网址点击</w:t>
      </w:r>
      <w:r>
        <w:drawing>
          <wp:inline distT="0" distB="0" distL="114300" distR="114300">
            <wp:extent cx="933450" cy="266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打开信息化网页。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055" cy="3035300"/>
            <wp:effectExtent l="0" t="0" r="10795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新增节能专项页面</w:t>
      </w:r>
    </w:p>
    <w:p>
      <w:pPr>
        <w:pStyle w:val="3"/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点击重点用能单位、能耗精细化管理、重点用能设备切换不同类型查看或</w:t>
      </w:r>
      <w:r>
        <w:drawing>
          <wp:inline distT="0" distB="0" distL="114300" distR="114300">
            <wp:extent cx="581025" cy="2190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信息。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节能转向信息管理页面</w:t>
      </w:r>
    </w:p>
    <w:p>
      <w:pPr>
        <w:pStyle w:val="2"/>
        <w:rPr>
          <w:rFonts w:hint="eastAsia"/>
          <w:b/>
          <w:lang w:val="en-US" w:eastAsia="zh-CN"/>
        </w:rPr>
      </w:pPr>
      <w:bookmarkStart w:id="18" w:name="_Toc11787"/>
      <w:r>
        <w:rPr>
          <w:rFonts w:hint="eastAsia"/>
          <w:b/>
          <w:lang w:val="en-US" w:eastAsia="zh-CN"/>
        </w:rPr>
        <w:t>4双碳应用</w:t>
      </w:r>
      <w:bookmarkEnd w:id="18"/>
    </w:p>
    <w:p>
      <w:pPr>
        <w:pStyle w:val="4"/>
        <w:rPr>
          <w:rFonts w:hint="eastAsia"/>
          <w:lang w:val="en-US" w:eastAsia="zh-CN"/>
        </w:rPr>
      </w:pPr>
      <w:bookmarkStart w:id="19" w:name="_Toc23783"/>
      <w:r>
        <w:rPr>
          <w:rFonts w:hint="eastAsia"/>
          <w:lang w:val="en-US" w:eastAsia="zh-CN"/>
        </w:rPr>
        <w:t>4.1碳排放源管理</w:t>
      </w:r>
      <w:bookmarkEnd w:id="19"/>
    </w:p>
    <w:p>
      <w:pPr>
        <w:pStyle w:val="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输入碳排放名称</w:t>
      </w:r>
      <w:r>
        <w:drawing>
          <wp:inline distT="0" distB="0" distL="114300" distR="114300">
            <wp:extent cx="828675" cy="361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可快速查寻需要搜索对象，点击</w:t>
      </w:r>
      <w:r>
        <w:drawing>
          <wp:inline distT="0" distB="0" distL="114300" distR="114300">
            <wp:extent cx="714375" cy="2857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弹出小窗按照需要录入内容填写信息，选择类别新增成功。</w:t>
      </w:r>
    </w:p>
    <w:p>
      <w:pPr>
        <w:pStyle w:val="3"/>
        <w:ind w:left="0" w:leftChars="0" w:firstLine="420" w:firstLineChars="0"/>
      </w:pPr>
      <w:r>
        <w:rPr>
          <w:rFonts w:hint="eastAsia"/>
          <w:lang w:val="en-US" w:eastAsia="zh-CN"/>
        </w:rPr>
        <w:t>如有新增错误内容可点击</w:t>
      </w:r>
      <w:r>
        <w:drawing>
          <wp:inline distT="0" distB="0" distL="114300" distR="114300">
            <wp:extent cx="523875" cy="2095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进行修改内容，若需要删除可点击</w:t>
      </w:r>
      <w:r>
        <w:drawing>
          <wp:inline distT="0" distB="0" distL="114300" distR="114300">
            <wp:extent cx="400050" cy="247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即可删除碳排放，如需大量删除勾选需要删除名称点击</w:t>
      </w:r>
      <w:r>
        <w:drawing>
          <wp:inline distT="0" distB="0" distL="114300" distR="114300">
            <wp:extent cx="676275" cy="2381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即可删除成功。</w:t>
      </w:r>
    </w:p>
    <w:p>
      <w:pPr>
        <w:pStyle w:val="3"/>
      </w:pPr>
      <w:r>
        <w:drawing>
          <wp:inline distT="0" distB="0" distL="114300" distR="114300">
            <wp:extent cx="5266690" cy="2548255"/>
            <wp:effectExtent l="0" t="0" r="1016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碳排放源管理页面</w:t>
      </w:r>
    </w:p>
    <w:p>
      <w:pPr>
        <w:pStyle w:val="4"/>
        <w:rPr>
          <w:rFonts w:hint="eastAsia"/>
          <w:lang w:val="en-US" w:eastAsia="zh-CN"/>
        </w:rPr>
      </w:pPr>
      <w:bookmarkStart w:id="20" w:name="_Toc3993"/>
      <w:r>
        <w:rPr>
          <w:rFonts w:hint="eastAsia"/>
          <w:lang w:val="en-US" w:eastAsia="zh-CN"/>
        </w:rPr>
        <w:t>4.2机构碳盘查</w:t>
      </w:r>
      <w:bookmarkEnd w:id="2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勾选查询机构选择年份点击查询可显示查询机构信息。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勾选需要新增机构名称点击</w:t>
      </w:r>
      <w:r>
        <w:drawing>
          <wp:inline distT="0" distB="0" distL="114300" distR="114300">
            <wp:extent cx="1162050" cy="323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输入类别、排放源、排放数量点击保存即可新增成功，点击</w:t>
      </w:r>
      <w:r>
        <w:drawing>
          <wp:inline distT="0" distB="0" distL="114300" distR="114300">
            <wp:extent cx="381000" cy="1714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可进入编辑页面，点击</w:t>
      </w:r>
      <w:r>
        <w:drawing>
          <wp:inline distT="0" distB="0" distL="114300" distR="114300">
            <wp:extent cx="438150" cy="152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可删除该机构下的机构碳盘查名称。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281555"/>
            <wp:effectExtent l="0" t="0" r="1079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新增碳盘查页面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机构碳盘查页面</w:t>
      </w:r>
    </w:p>
    <w:p>
      <w:pPr>
        <w:pStyle w:val="4"/>
        <w:rPr>
          <w:rFonts w:hint="eastAsia"/>
          <w:lang w:val="en-US" w:eastAsia="zh-CN"/>
        </w:rPr>
      </w:pPr>
      <w:bookmarkStart w:id="21" w:name="_Toc12898"/>
      <w:r>
        <w:rPr>
          <w:rFonts w:hint="eastAsia"/>
          <w:lang w:val="en-US" w:eastAsia="zh-CN"/>
        </w:rPr>
        <w:t>4.3碳排放统计分析</w:t>
      </w:r>
      <w:bookmarkEnd w:id="21"/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22" w:name="_Toc28512"/>
      <w:r>
        <w:rPr>
          <w:rFonts w:hint="eastAsia" w:ascii="Times New Roman" w:hAnsi="Times New Roman" w:eastAsia="宋体" w:cs="Times New Roman"/>
          <w:lang w:val="en-US" w:eastAsia="zh-CN"/>
        </w:rPr>
        <w:t>4.3.1碳排放统计</w:t>
      </w:r>
      <w:bookmarkEnd w:id="22"/>
    </w:p>
    <w:p>
      <w:pPr>
        <w:pStyle w:val="3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选择对应区域单位，按照统计指标、时间粒度、开始年份查询碳排放统计。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碳排放统计页面</w:t>
      </w:r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23" w:name="_Toc1671"/>
      <w:r>
        <w:rPr>
          <w:rFonts w:hint="eastAsia" w:ascii="Times New Roman" w:hAnsi="Times New Roman" w:eastAsia="宋体" w:cs="Times New Roman"/>
          <w:lang w:val="en-US" w:eastAsia="zh-CN"/>
        </w:rPr>
        <w:t>4.3.2碳排放对标分析</w:t>
      </w:r>
      <w:bookmarkEnd w:id="23"/>
    </w:p>
    <w:p>
      <w:pPr>
        <w:pStyle w:val="3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选择对应区域单位，按照分析指标、能耗指标、年份查询碳排放对标分析。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碳排放对标分析页面</w:t>
      </w:r>
    </w:p>
    <w:p>
      <w:pPr>
        <w:pStyle w:val="5"/>
        <w:rPr>
          <w:rFonts w:hint="eastAsia" w:ascii="Times New Roman" w:hAnsi="Times New Roman" w:eastAsia="宋体" w:cs="Times New Roman"/>
          <w:lang w:val="en-US" w:eastAsia="zh-CN"/>
        </w:rPr>
      </w:pPr>
      <w:bookmarkStart w:id="24" w:name="_Toc23579"/>
      <w:r>
        <w:rPr>
          <w:rFonts w:hint="eastAsia" w:ascii="Times New Roman" w:hAnsi="Times New Roman" w:eastAsia="宋体" w:cs="Times New Roman"/>
          <w:lang w:val="en-US" w:eastAsia="zh-CN"/>
        </w:rPr>
        <w:t>4.3.3碳排放源结构分析</w:t>
      </w:r>
      <w:bookmarkEnd w:id="24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选择机构按照类型选择查询条件显示机构详细数据。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碳排放源结构分析页面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25" w:name="_Toc14840"/>
      <w:r>
        <w:rPr>
          <w:rFonts w:hint="eastAsia" w:ascii="Times New Roman" w:hAnsi="Times New Roman" w:eastAsia="宋体" w:cs="Times New Roman"/>
          <w:lang w:val="en-US" w:eastAsia="zh-CN"/>
        </w:rPr>
        <w:t>4.4碳足迹计算器</w:t>
      </w:r>
      <w:bookmarkEnd w:id="25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按照年份，活动类型区域查询并计算碳足迹。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800100" cy="3333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进入设置活动填入内容保存后可通过填写内容计算结果，点击</w:t>
      </w:r>
      <w:r>
        <w:drawing>
          <wp:inline distT="0" distB="0" distL="114300" distR="114300">
            <wp:extent cx="457200" cy="2381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可修改填写内容，点击</w:t>
      </w:r>
      <w:r>
        <w:drawing>
          <wp:inline distT="0" distB="0" distL="114300" distR="114300">
            <wp:extent cx="838200" cy="228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可修改排放源，点击</w:t>
      </w:r>
      <w:r>
        <w:drawing>
          <wp:inline distT="0" distB="0" distL="114300" distR="114300">
            <wp:extent cx="561975" cy="2476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可删除项目。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碳足迹计算器页面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26" w:name="_Toc13706"/>
      <w:r>
        <w:rPr>
          <w:rFonts w:hint="eastAsia" w:ascii="Times New Roman" w:hAnsi="Times New Roman" w:eastAsia="宋体" w:cs="Times New Roman"/>
          <w:lang w:val="en-US" w:eastAsia="zh-CN"/>
        </w:rPr>
        <w:t>4.5碳排放排名</w:t>
      </w:r>
      <w:bookmarkEnd w:id="26"/>
    </w:p>
    <w:p>
      <w:pPr>
        <w:pStyle w:val="3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选择区域，按照统计指标、统计对象、年份生成对应排名表，可切换至数据表格导出。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碳排放排名页面</w:t>
      </w:r>
    </w:p>
    <w:p>
      <w:pPr>
        <w:pStyle w:val="4"/>
        <w:outlineLvl w:val="0"/>
        <w:rPr>
          <w:rFonts w:hint="eastAsia"/>
          <w:lang w:val="en-US" w:eastAsia="zh-CN"/>
        </w:rPr>
      </w:pPr>
      <w:bookmarkStart w:id="27" w:name="_Toc12424"/>
      <w:r>
        <w:rPr>
          <w:rFonts w:hint="eastAsia"/>
          <w:lang w:val="en-US" w:eastAsia="zh-CN"/>
        </w:rPr>
        <w:t>5报表管理</w:t>
      </w:r>
      <w:bookmarkEnd w:id="27"/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28" w:name="_Toc12003"/>
      <w:r>
        <w:rPr>
          <w:rFonts w:hint="eastAsia" w:ascii="Times New Roman" w:hAnsi="Times New Roman" w:eastAsia="宋体" w:cs="Times New Roman"/>
          <w:lang w:val="en-US" w:eastAsia="zh-CN"/>
        </w:rPr>
        <w:t>5.1自定义报表</w:t>
      </w:r>
      <w:bookmarkEnd w:id="28"/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点击表格在小窗内输入需要的内容，点击空白处即可输入完成，点击数据源点击</w:t>
      </w:r>
      <w:r>
        <w:drawing>
          <wp:inline distT="0" distB="0" distL="114300" distR="114300">
            <wp:extent cx="285750" cy="285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弹出数据源配置，输入内容可保存数据源，点击</w:t>
      </w:r>
      <w:r>
        <w:drawing>
          <wp:inline distT="0" distB="0" distL="114300" distR="114300">
            <wp:extent cx="257175" cy="1809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弹出SpringBean数据源配置填写后可保存配置，点击</w:t>
      </w:r>
      <w:r>
        <w:drawing>
          <wp:inline distT="0" distB="0" distL="114300" distR="114300">
            <wp:extent cx="228600" cy="2381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可查看内置数据源。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自定义报表页面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29" w:name="_Toc31871"/>
      <w:r>
        <w:rPr>
          <w:rFonts w:hint="eastAsia" w:ascii="Times New Roman" w:hAnsi="Times New Roman" w:eastAsia="宋体" w:cs="Times New Roman"/>
          <w:lang w:val="en-US" w:eastAsia="zh-CN"/>
        </w:rPr>
        <w:t>5.2常用报表</w:t>
      </w:r>
      <w:bookmarkEnd w:id="29"/>
    </w:p>
    <w:p>
      <w:pPr>
        <w:pStyle w:val="3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按照区域、报表类型、资源类型、时段类型、开始结束时间生成报表。可导出选择查询类型。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常用报表页面</w:t>
      </w:r>
    </w:p>
    <w:p>
      <w:pPr>
        <w:pStyle w:val="4"/>
        <w:outlineLvl w:val="0"/>
        <w:rPr>
          <w:rFonts w:hint="eastAsia"/>
          <w:lang w:val="en-US" w:eastAsia="zh-CN"/>
        </w:rPr>
      </w:pPr>
      <w:bookmarkStart w:id="30" w:name="_Toc13713"/>
      <w:r>
        <w:rPr>
          <w:rFonts w:hint="eastAsia"/>
          <w:lang w:val="en-US" w:eastAsia="zh-CN"/>
        </w:rPr>
        <w:t>6考核管理</w:t>
      </w:r>
      <w:bookmarkEnd w:id="30"/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1" w:name="_Toc28891"/>
      <w:r>
        <w:rPr>
          <w:rFonts w:hint="eastAsia" w:ascii="Times New Roman" w:hAnsi="Times New Roman" w:eastAsia="宋体" w:cs="Times New Roman"/>
          <w:lang w:val="en-US" w:eastAsia="zh-CN"/>
        </w:rPr>
        <w:t>6.1考核标准管理</w:t>
      </w:r>
      <w:bookmarkEnd w:id="31"/>
    </w:p>
    <w:p>
      <w:pPr>
        <w:pStyle w:val="3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点击</w:t>
      </w:r>
      <w:r>
        <w:drawing>
          <wp:inline distT="0" distB="0" distL="114300" distR="114300">
            <wp:extent cx="638175" cy="3333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弹出小窗输入需要设定的名称，选择考核标准、评级标准以及标准说明勾选勾选区域点击保存可创建考核项。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点击新创建考核点击下方</w:t>
      </w:r>
      <w:r>
        <w:drawing>
          <wp:inline distT="0" distB="0" distL="114300" distR="114300">
            <wp:extent cx="638175" cy="3333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弹出考核项添加，输入标题、分值、序号、设置考核标准该项创建完成。此时点击考核名称</w:t>
      </w:r>
      <w:r>
        <w:drawing>
          <wp:inline distT="0" distB="0" distL="114300" distR="114300">
            <wp:extent cx="476250" cy="247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628650" cy="3143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考核状态变更为已发布。</w:t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选择年份、考核类型、使用区域发布状态可筛选考核状态。在考核项中输入考核名称可快速查询该考核项下的子项</w:t>
      </w:r>
      <w:r>
        <w:drawing>
          <wp:inline distT="0" distB="0" distL="114300" distR="114300">
            <wp:extent cx="2011680" cy="224155"/>
            <wp:effectExtent l="0" t="0" r="762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336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考核标准管理页面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2" w:name="_Toc26349"/>
      <w:r>
        <w:rPr>
          <w:rFonts w:hint="eastAsia" w:ascii="Times New Roman" w:hAnsi="Times New Roman" w:eastAsia="宋体" w:cs="Times New Roman"/>
          <w:lang w:val="en-US" w:eastAsia="zh-CN"/>
        </w:rPr>
        <w:t>6.2考核任务设置与下发</w:t>
      </w:r>
      <w:bookmarkEnd w:id="32"/>
    </w:p>
    <w:p>
      <w:pPr>
        <w:pStyle w:val="3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此处显示考核标准管理添加的考核标准，点击市级展开区县级单位，</w:t>
      </w:r>
      <w:r>
        <w:drawing>
          <wp:inline distT="0" distB="0" distL="114300" distR="114300">
            <wp:extent cx="981075" cy="2190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弹出区级单位下的县级单位，勾选单位上方设置考核专家数量点击箭头右键，将单位移到已勾选单位，点击确定考核任务设置完成。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704850" cy="200025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弹出专家分配小窗口，点击被考核单位点击</w:t>
      </w:r>
      <w:r>
        <w:drawing>
          <wp:inline distT="0" distB="0" distL="114300" distR="114300">
            <wp:extent cx="962025" cy="266700"/>
            <wp:effectExtent l="0" t="0" r="9525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可选择当前账号下级单位所有专家，点击</w:t>
      </w:r>
      <w:r>
        <w:drawing>
          <wp:inline distT="0" distB="0" distL="114300" distR="114300">
            <wp:extent cx="981075" cy="285750"/>
            <wp:effectExtent l="0" t="0" r="9525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则分配该系统下的所有专家。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704850" cy="228600"/>
            <wp:effectExtent l="0" t="0" r="0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弹出该区域所有已分配任务。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考核任务设置与下发页面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3" w:name="_Toc15001"/>
      <w:r>
        <w:rPr>
          <w:rFonts w:hint="eastAsia" w:ascii="Times New Roman" w:hAnsi="Times New Roman" w:eastAsia="宋体" w:cs="Times New Roman"/>
          <w:lang w:val="en-US" w:eastAsia="zh-CN"/>
        </w:rPr>
        <w:t>6.3参评单位确认与通知</w:t>
      </w:r>
      <w:bookmarkEnd w:id="33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按照时间、区域、机构名可快速查询被考核机构。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790575" cy="247650"/>
            <wp:effectExtent l="0" t="0" r="9525" b="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展开该考核任务下的子级任务（主管单位只可查看不可修改）点击</w:t>
      </w:r>
      <w:r>
        <w:drawing>
          <wp:inline distT="0" distB="0" distL="114300" distR="114300">
            <wp:extent cx="733425" cy="266700"/>
            <wp:effectExtent l="0" t="0" r="9525" b="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展开该子级任务详细考核自评（用能单位可根据上级设置任务上传相关资料）。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参评单位确认与通知页面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4" w:name="_Toc21730"/>
      <w:r>
        <w:rPr>
          <w:rFonts w:hint="eastAsia" w:ascii="Times New Roman" w:hAnsi="Times New Roman" w:eastAsia="宋体" w:cs="Times New Roman"/>
          <w:lang w:val="en-US" w:eastAsia="zh-CN"/>
        </w:rPr>
        <w:t>6.4专家审评</w:t>
      </w:r>
      <w:bookmarkEnd w:id="34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按照时间、区域、机构名可快速查询考核任务。</w:t>
      </w:r>
    </w:p>
    <w:p>
      <w:pPr>
        <w:pStyle w:val="3"/>
      </w:pPr>
      <w:r>
        <w:rPr>
          <w:rFonts w:hint="eastAsia"/>
          <w:lang w:val="en-US" w:eastAsia="zh-CN"/>
        </w:rPr>
        <w:t>登录专家账号点击</w:t>
      </w:r>
      <w:r>
        <w:drawing>
          <wp:inline distT="0" distB="0" distL="114300" distR="114300">
            <wp:extent cx="790575" cy="247650"/>
            <wp:effectExtent l="0" t="0" r="9525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展开该考核任务下的子级任务，点击</w:t>
      </w:r>
      <w:r>
        <w:drawing>
          <wp:inline distT="0" distB="0" distL="114300" distR="114300">
            <wp:extent cx="666750" cy="257175"/>
            <wp:effectExtent l="0" t="0" r="0" b="952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展开考核任务专家输入评分情况以及查看用能单位上传的文件（所有专家考核后分数低于80分时考核任务默认判定考核不通过，分数低于设定考核任务评分时会有红色数字出现）</w:t>
      </w:r>
      <w:r>
        <w:drawing>
          <wp:inline distT="0" distB="0" distL="114300" distR="114300">
            <wp:extent cx="5266690" cy="2548255"/>
            <wp:effectExtent l="0" t="0" r="10160" b="444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专家审评页面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5" w:name="_Toc24911"/>
      <w:r>
        <w:rPr>
          <w:rFonts w:hint="eastAsia" w:ascii="Times New Roman" w:hAnsi="Times New Roman" w:eastAsia="宋体" w:cs="Times New Roman"/>
          <w:lang w:val="en-US" w:eastAsia="zh-CN"/>
        </w:rPr>
        <w:t>6.5工作通知管理</w:t>
      </w:r>
      <w:bookmarkEnd w:id="35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上级单位设置考核任务后会自动生成一条考核工作通知。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工作通知管理页面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6" w:name="_Toc6300"/>
      <w:r>
        <w:rPr>
          <w:rFonts w:hint="eastAsia" w:ascii="Times New Roman" w:hAnsi="Times New Roman" w:eastAsia="宋体" w:cs="Times New Roman"/>
          <w:lang w:val="en-US" w:eastAsia="zh-CN"/>
        </w:rPr>
        <w:t>6.6业务资料库</w:t>
      </w:r>
      <w:bookmarkEnd w:id="36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点击新增弹出新增界面输入名称说明，上传文件后可保存资料项目（可进行删除编辑）。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业务资料库页面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7" w:name="_Toc20901"/>
      <w:r>
        <w:rPr>
          <w:rFonts w:hint="eastAsia" w:ascii="Times New Roman" w:hAnsi="Times New Roman" w:eastAsia="宋体" w:cs="Times New Roman"/>
          <w:lang w:val="en-US" w:eastAsia="zh-CN"/>
        </w:rPr>
        <w:t>6.7考核工作总览</w:t>
      </w:r>
      <w:bookmarkEnd w:id="37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显示下级单位十四五全省累计考核目标，考核完成量、完成情况生成折线统计图，饼图详细区域完成信息列表。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考核工作总览页面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8" w:name="_Toc27564"/>
      <w:r>
        <w:rPr>
          <w:rFonts w:hint="eastAsia" w:ascii="Times New Roman" w:hAnsi="Times New Roman" w:eastAsia="宋体" w:cs="Times New Roman"/>
          <w:lang w:val="en-US" w:eastAsia="zh-CN"/>
        </w:rPr>
        <w:t>6.8考核结果核查</w:t>
      </w:r>
      <w:bookmarkEnd w:id="38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可查看往年考核抽查结果，显示已完成考核单位考核标准进行抽查。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考核结果核查页面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39" w:name="_Toc26723"/>
      <w:r>
        <w:rPr>
          <w:rFonts w:hint="eastAsia" w:ascii="Times New Roman" w:hAnsi="Times New Roman" w:eastAsia="宋体" w:cs="Times New Roman"/>
          <w:lang w:val="en-US" w:eastAsia="zh-CN"/>
        </w:rPr>
        <w:t>6.9专家信息管理</w:t>
      </w:r>
      <w:bookmarkEnd w:id="39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主管单位可新增专家，编辑专家信息，设置专家权限以及重置初始密码（新增专家初始密码可在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03133"/>
          <w:spacing w:val="0"/>
          <w:sz w:val="21"/>
          <w:szCs w:val="21"/>
          <w:u w:val="none"/>
          <w:shd w:val="clear" w:fill="FFFFFF"/>
        </w:rPr>
        <w:t>基础功能管理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303133"/>
          <w:spacing w:val="0"/>
          <w:sz w:val="21"/>
          <w:szCs w:val="21"/>
          <w:u w:val="none"/>
          <w:shd w:val="clear" w:fill="FFFFFF"/>
          <w:lang w:val="en-US" w:eastAsia="zh-CN"/>
        </w:rPr>
        <w:t>--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03133"/>
          <w:spacing w:val="0"/>
          <w:sz w:val="21"/>
          <w:szCs w:val="21"/>
          <w:u w:val="none"/>
          <w:shd w:val="clear" w:fill="FFFFFF"/>
        </w:rPr>
        <w:t>系统重要参数配置</w:t>
      </w:r>
      <w:r>
        <w:rPr>
          <w:rFonts w:hint="eastAsia" w:ascii="Helvetica" w:hAnsi="Helvetica" w:eastAsia="宋体" w:cs="Helvetica"/>
          <w:i w:val="0"/>
          <w:iCs w:val="0"/>
          <w:caps w:val="0"/>
          <w:color w:val="303133"/>
          <w:spacing w:val="0"/>
          <w:sz w:val="21"/>
          <w:szCs w:val="21"/>
          <w:u w:val="none"/>
          <w:shd w:val="clear" w:fill="FFFFFF"/>
          <w:lang w:val="en-US" w:eastAsia="zh-CN"/>
        </w:rPr>
        <w:t>设置新增初始密码</w:t>
      </w:r>
      <w:r>
        <w:rPr>
          <w:rFonts w:hint="eastAsia" w:ascii="Times New Roman" w:hAnsi="Times New Roman" w:eastAsia="宋体" w:cs="Times New Roman"/>
          <w:lang w:val="en-US" w:eastAsia="zh-CN"/>
        </w:rPr>
        <w:t>）。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专家信息管理页面</w:t>
      </w:r>
    </w:p>
    <w:p>
      <w:pPr>
        <w:pStyle w:val="4"/>
        <w:outlineLvl w:val="0"/>
        <w:rPr>
          <w:rFonts w:hint="eastAsia"/>
          <w:lang w:val="en-US" w:eastAsia="zh-CN"/>
        </w:rPr>
      </w:pPr>
      <w:bookmarkStart w:id="40" w:name="_Toc839"/>
      <w:r>
        <w:rPr>
          <w:rFonts w:hint="eastAsia"/>
          <w:lang w:val="en-US" w:eastAsia="zh-CN"/>
        </w:rPr>
        <w:t>7基础功能管理</w:t>
      </w:r>
      <w:bookmarkEnd w:id="40"/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1" w:name="_Toc27445"/>
      <w:r>
        <w:rPr>
          <w:rFonts w:hint="eastAsia" w:ascii="Times New Roman" w:hAnsi="Times New Roman" w:eastAsia="宋体" w:cs="Times New Roman"/>
          <w:lang w:val="en-US" w:eastAsia="zh-CN"/>
        </w:rPr>
        <w:t>7.1系统重要参数配置</w:t>
      </w:r>
      <w:bookmarkEnd w:id="41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可更换登录页标题、登录系统页面图片、页眉标题、系统logo、根区域、以及新增用户初始密码。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系统重要参数配置页面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2" w:name="_Toc1675"/>
      <w:r>
        <w:rPr>
          <w:rFonts w:hint="eastAsia" w:ascii="Times New Roman" w:hAnsi="Times New Roman" w:eastAsia="宋体" w:cs="Times New Roman"/>
          <w:lang w:val="en-US" w:eastAsia="zh-CN"/>
        </w:rPr>
        <w:t>7.2用户角色管理</w:t>
      </w:r>
      <w:bookmarkEnd w:id="42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可新增用户身份输入名称配置权限分配即可。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用户角色管理页面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3" w:name="_Toc1112"/>
      <w:r>
        <w:rPr>
          <w:rFonts w:hint="eastAsia" w:ascii="Times New Roman" w:hAnsi="Times New Roman" w:eastAsia="宋体" w:cs="Times New Roman"/>
          <w:lang w:val="en-US" w:eastAsia="zh-CN"/>
        </w:rPr>
        <w:t>7.3机构名录库管理</w:t>
      </w:r>
      <w:bookmarkEnd w:id="43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可查看当前登陆账号下的所有区域管理者、用能单位、主管单位账号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机构名录库管理页面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4" w:name="_Toc32756"/>
      <w:r>
        <w:rPr>
          <w:rFonts w:hint="eastAsia" w:ascii="Times New Roman" w:hAnsi="Times New Roman" w:eastAsia="宋体" w:cs="Times New Roman"/>
          <w:lang w:val="en-US" w:eastAsia="zh-CN"/>
        </w:rPr>
        <w:t>7.4日志管理</w:t>
      </w:r>
      <w:bookmarkEnd w:id="44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显示系统操作日志。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日志管理页面</w:t>
      </w:r>
    </w:p>
    <w:p>
      <w:pPr>
        <w:pStyle w:val="5"/>
        <w:outlineLvl w:val="1"/>
        <w:rPr>
          <w:rFonts w:hint="default" w:ascii="Times New Roman" w:hAnsi="Times New Roman" w:eastAsia="宋体" w:cs="Times New Roman"/>
          <w:lang w:val="en-US" w:eastAsia="zh-CN"/>
        </w:rPr>
      </w:pPr>
      <w:bookmarkStart w:id="45" w:name="_Toc16578"/>
      <w:r>
        <w:rPr>
          <w:rFonts w:hint="eastAsia" w:ascii="Times New Roman" w:hAnsi="Times New Roman" w:eastAsia="宋体" w:cs="Times New Roman"/>
          <w:lang w:val="en-US" w:eastAsia="zh-CN"/>
        </w:rPr>
        <w:t>7.5业务信息管理配置</w:t>
      </w:r>
      <w:bookmarkEnd w:id="45"/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6" w:name="_Toc27492"/>
      <w:r>
        <w:rPr>
          <w:rFonts w:hint="eastAsia" w:ascii="Times New Roman" w:hAnsi="Times New Roman" w:eastAsia="宋体" w:cs="Times New Roman"/>
          <w:lang w:val="en-US" w:eastAsia="zh-CN"/>
        </w:rPr>
        <w:t>7.6数据对接</w:t>
      </w:r>
      <w:bookmarkEnd w:id="46"/>
    </w:p>
    <w:p>
      <w:pPr>
        <w:pStyle w:val="6"/>
        <w:outlineLvl w:val="2"/>
        <w:rPr>
          <w:rFonts w:hint="eastAsia" w:ascii="Times New Roman" w:hAnsi="Times New Roman" w:eastAsia="宋体" w:cs="Times New Roman"/>
          <w:lang w:val="en-US" w:eastAsia="zh-CN"/>
        </w:rPr>
      </w:pPr>
      <w:bookmarkStart w:id="47" w:name="_Toc19595"/>
      <w:r>
        <w:rPr>
          <w:rFonts w:hint="eastAsia" w:ascii="Times New Roman" w:hAnsi="Times New Roman" w:eastAsia="宋体" w:cs="Times New Roman"/>
          <w:lang w:val="en-US" w:eastAsia="zh-CN"/>
        </w:rPr>
        <w:t>7.6.1国网专用服务</w:t>
      </w:r>
      <w:bookmarkEnd w:id="47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根据接口名称、定时设置、预警预警设置同步信息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数据对接页面</w:t>
      </w:r>
    </w:p>
    <w:p>
      <w:pPr>
        <w:rPr>
          <w:rFonts w:hint="eastAsia"/>
          <w:lang w:val="en-US" w:eastAsia="zh-CN"/>
        </w:rPr>
      </w:pPr>
    </w:p>
    <w:p>
      <w:pPr>
        <w:pStyle w:val="6"/>
        <w:outlineLvl w:val="2"/>
        <w:rPr>
          <w:rFonts w:hint="eastAsia"/>
          <w:lang w:val="en-US" w:eastAsia="zh-CN"/>
        </w:rPr>
      </w:pPr>
      <w:bookmarkStart w:id="48" w:name="_Toc19811"/>
      <w:r>
        <w:rPr>
          <w:rFonts w:hint="eastAsia" w:ascii="Times New Roman" w:hAnsi="Times New Roman" w:eastAsia="宋体" w:cs="Times New Roman"/>
          <w:lang w:val="en-US" w:eastAsia="zh-CN"/>
        </w:rPr>
        <w:t>7.6.2省统建系统</w:t>
      </w:r>
      <w:bookmarkEnd w:id="48"/>
    </w:p>
    <w:p>
      <w:pPr>
        <w:pStyle w:val="6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7.6.2.1省能耗统计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点击省能耗统计跳转至浙江省公共机构能源资源消费统计平台。</w:t>
      </w:r>
    </w:p>
    <w:p>
      <w:r>
        <w:drawing>
          <wp:inline distT="0" distB="0" distL="114300" distR="114300">
            <wp:extent cx="5266690" cy="2548255"/>
            <wp:effectExtent l="0" t="0" r="10160" b="444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省能耗统计页面</w:t>
      </w:r>
    </w:p>
    <w:p>
      <w:pPr>
        <w:pStyle w:val="6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7.6.2.2节约型机关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点击节约型机关跳转至浙江省节约型机关申报考核管理系统。</w:t>
      </w:r>
    </w:p>
    <w:p>
      <w:r>
        <w:drawing>
          <wp:inline distT="0" distB="0" distL="114300" distR="114300">
            <wp:extent cx="5266690" cy="2548255"/>
            <wp:effectExtent l="0" t="0" r="10160" b="444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节约型机关页面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49" w:name="_Toc18335"/>
      <w:r>
        <w:rPr>
          <w:rFonts w:hint="eastAsia" w:ascii="Times New Roman" w:hAnsi="Times New Roman" w:eastAsia="宋体" w:cs="Times New Roman"/>
          <w:lang w:val="en-US" w:eastAsia="zh-CN"/>
        </w:rPr>
        <w:t>7.7数据看板</w:t>
      </w:r>
      <w:bookmarkEnd w:id="49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根据设置看板内容展示在首页大屏信息。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数据看板页面</w:t>
      </w:r>
    </w:p>
    <w:p>
      <w:pPr>
        <w:pStyle w:val="4"/>
        <w:outlineLvl w:val="0"/>
        <w:rPr>
          <w:rFonts w:hint="eastAsia"/>
          <w:lang w:val="en-US" w:eastAsia="zh-CN"/>
        </w:rPr>
      </w:pPr>
      <w:bookmarkStart w:id="50" w:name="_Toc26000"/>
      <w:r>
        <w:rPr>
          <w:rFonts w:hint="eastAsia"/>
          <w:lang w:val="en-US" w:eastAsia="zh-CN"/>
        </w:rPr>
        <w:t>8能源项目管理</w:t>
      </w:r>
      <w:bookmarkEnd w:id="50"/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1" w:name="_Toc7426"/>
      <w:r>
        <w:rPr>
          <w:rFonts w:hint="eastAsia" w:ascii="Times New Roman" w:hAnsi="Times New Roman" w:eastAsia="宋体" w:cs="Times New Roman"/>
          <w:lang w:val="en-US" w:eastAsia="zh-CN"/>
        </w:rPr>
        <w:t>8.1项目总览</w:t>
      </w:r>
      <w:bookmarkEnd w:id="51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按照年份、区域条件查询显示市级下的所有节能项目总量数据。能源管理数据看板可切换不同条件查看。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项目总览页面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2" w:name="_Toc23887"/>
      <w:r>
        <w:rPr>
          <w:rFonts w:hint="eastAsia" w:ascii="Times New Roman" w:hAnsi="Times New Roman" w:eastAsia="宋体" w:cs="Times New Roman"/>
          <w:lang w:val="en-US" w:eastAsia="zh-CN"/>
        </w:rPr>
        <w:t>8.2节能效果分析</w:t>
      </w:r>
      <w:bookmarkEnd w:id="52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根据不同区域或项目类别、资源类型、时段查询对应项目能源消耗和费用统计。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节能效果分析页面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3" w:name="_Toc22828"/>
      <w:r>
        <w:rPr>
          <w:rFonts w:hint="eastAsia" w:ascii="Times New Roman" w:hAnsi="Times New Roman" w:eastAsia="宋体" w:cs="Times New Roman"/>
          <w:lang w:val="en-US" w:eastAsia="zh-CN"/>
        </w:rPr>
        <w:t>8.3项目类型统计</w:t>
      </w:r>
      <w:bookmarkEnd w:id="53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按照不同区域选择查询项，显示历年项目建设情况。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项目类型统计页面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4" w:name="_Toc7484"/>
      <w:r>
        <w:rPr>
          <w:rFonts w:hint="eastAsia" w:ascii="Times New Roman" w:hAnsi="Times New Roman" w:eastAsia="宋体" w:cs="Times New Roman"/>
          <w:lang w:val="en-US" w:eastAsia="zh-CN"/>
        </w:rPr>
        <w:t>8.4自动抄表查询</w:t>
      </w:r>
      <w:bookmarkEnd w:id="54"/>
    </w:p>
    <w:p>
      <w:pPr>
        <w:pStyle w:val="3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按照日期查询支路选择需要查询的数据。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5" w:name="_Toc8261"/>
      <w:r>
        <w:rPr>
          <w:rFonts w:hint="eastAsia" w:ascii="Times New Roman" w:hAnsi="Times New Roman" w:eastAsia="宋体" w:cs="Times New Roman"/>
          <w:lang w:val="en-US" w:eastAsia="zh-CN"/>
        </w:rPr>
        <w:t>8.5能效基数管理</w:t>
      </w:r>
      <w:bookmarkEnd w:id="55"/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左侧选择对应机构，点击</w:t>
      </w:r>
      <w:r>
        <w:drawing>
          <wp:inline distT="0" distB="0" distL="114300" distR="114300">
            <wp:extent cx="571500" cy="266700"/>
            <wp:effectExtent l="0" t="0" r="0" b="0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可创建该机构能耗基数输入相关信息创建成功。可根据年份、能耗/费用进行筛选查询。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能效基数管理页面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6" w:name="_Toc1776"/>
      <w:r>
        <w:rPr>
          <w:rFonts w:hint="eastAsia" w:ascii="Times New Roman" w:hAnsi="Times New Roman" w:eastAsia="宋体" w:cs="Times New Roman"/>
          <w:lang w:val="en-US" w:eastAsia="zh-CN"/>
        </w:rPr>
        <w:t>8.6项目档案管理</w:t>
      </w:r>
      <w:bookmarkEnd w:id="56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选择区域点击新增对该区域创建项目档案，根据新增小窗内容填写即可（可对项目进行编辑、删除操作）。上方查询方式可按照日期、机构类型、项目类别方式进行快速查找。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项目档案管理页面</w:t>
      </w:r>
    </w:p>
    <w:p>
      <w:pPr>
        <w:pStyle w:val="5"/>
        <w:outlineLvl w:val="1"/>
        <w:rPr>
          <w:rFonts w:hint="eastAsia" w:ascii="Times New Roman" w:hAnsi="Times New Roman" w:eastAsia="宋体" w:cs="Times New Roman"/>
          <w:lang w:val="en-US" w:eastAsia="zh-CN"/>
        </w:rPr>
      </w:pPr>
      <w:bookmarkStart w:id="57" w:name="_Toc11084"/>
      <w:r>
        <w:rPr>
          <w:rFonts w:hint="eastAsia" w:ascii="Times New Roman" w:hAnsi="Times New Roman" w:eastAsia="宋体" w:cs="Times New Roman"/>
          <w:lang w:val="en-US" w:eastAsia="zh-CN"/>
        </w:rPr>
        <w:t>8.7服务商管理</w:t>
      </w:r>
      <w:bookmarkEnd w:id="57"/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点击新增根基弹窗项填写服务商名称、类型、区域进行创建、编辑查询操作。</w:t>
      </w:r>
    </w:p>
    <w:p>
      <w:pPr>
        <w:pStyle w:val="3"/>
        <w:ind w:left="0" w:leftChars="0" w:firstLine="0" w:firstLineChars="0"/>
      </w:pPr>
      <w:r>
        <w:drawing>
          <wp:inline distT="0" distB="0" distL="114300" distR="114300">
            <wp:extent cx="5266690" cy="2548255"/>
            <wp:effectExtent l="0" t="0" r="10160" b="4445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服务商管理页面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kYTMzMDUzYzMyZWE3YzVjNzM0YzdjMDM2NGFkZGYifQ=="/>
  </w:docVars>
  <w:rsids>
    <w:rsidRoot w:val="0B6F2DBF"/>
    <w:rsid w:val="00375C8D"/>
    <w:rsid w:val="08BF582F"/>
    <w:rsid w:val="0B6F2DBF"/>
    <w:rsid w:val="14244E8D"/>
    <w:rsid w:val="1B083D40"/>
    <w:rsid w:val="1FE8483B"/>
    <w:rsid w:val="3CA1529C"/>
    <w:rsid w:val="4ACC7DBB"/>
    <w:rsid w:val="5098008E"/>
    <w:rsid w:val="5A2855F4"/>
    <w:rsid w:val="5B525F18"/>
    <w:rsid w:val="65EA13BD"/>
    <w:rsid w:val="70760F27"/>
    <w:rsid w:val="716342F2"/>
    <w:rsid w:val="78C21E21"/>
    <w:rsid w:val="7E797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4">
    <w:name w:val="heading 2"/>
    <w:basedOn w:val="1"/>
    <w:next w:val="3"/>
    <w:qFormat/>
    <w:uiPriority w:val="0"/>
    <w:pPr>
      <w:keepNext/>
      <w:keepLines/>
      <w:spacing w:before="120" w:after="120" w:line="288" w:lineRule="auto"/>
      <w:outlineLvl w:val="1"/>
    </w:pPr>
    <w:rPr>
      <w:rFonts w:ascii="Arial" w:hAnsi="Arial" w:eastAsia="黑体"/>
      <w:bCs/>
      <w:sz w:val="28"/>
      <w:szCs w:val="32"/>
    </w:rPr>
  </w:style>
  <w:style w:type="paragraph" w:styleId="5">
    <w:name w:val="heading 3"/>
    <w:basedOn w:val="1"/>
    <w:next w:val="3"/>
    <w:qFormat/>
    <w:uiPriority w:val="0"/>
    <w:pPr>
      <w:keepNext/>
      <w:keepLines/>
      <w:spacing w:before="120" w:after="120"/>
      <w:outlineLvl w:val="2"/>
    </w:pPr>
    <w:rPr>
      <w:b/>
      <w:bCs/>
      <w:sz w:val="24"/>
      <w:szCs w:val="32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qFormat/>
    <w:uiPriority w:val="0"/>
    <w:pPr>
      <w:spacing w:beforeLines="20" w:afterLines="20" w:line="336" w:lineRule="auto"/>
      <w:ind w:firstLine="420" w:firstLineChars="200"/>
      <w:jc w:val="left"/>
    </w:pPr>
    <w:rPr>
      <w:kern w:val="0"/>
      <w:szCs w:val="21"/>
    </w:rPr>
  </w:style>
  <w:style w:type="paragraph" w:styleId="7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0">
    <w:name w:val="图题"/>
    <w:basedOn w:val="1"/>
    <w:next w:val="3"/>
    <w:qFormat/>
    <w:uiPriority w:val="0"/>
    <w:pPr>
      <w:spacing w:beforeLines="50" w:afterLines="50"/>
      <w:jc w:val="center"/>
    </w:pPr>
    <w:rPr>
      <w:sz w:val="18"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3629</Words>
  <Characters>3919</Characters>
  <Lines>0</Lines>
  <Paragraphs>0</Paragraphs>
  <TotalTime>1</TotalTime>
  <ScaleCrop>false</ScaleCrop>
  <LinksUpToDate>false</LinksUpToDate>
  <CharactersWithSpaces>4084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2022-11-30T08:39:00Z</dcterms:created>
  <dc:creator>WiId</dc:creator>
  <cp:lastModifiedBy>WiId</cp:lastModifiedBy>
  <dcterms:modified xsi:type="dcterms:W3CDTF">2022-12-04T01:24:22Z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F3BB946055D44C8E8FDDAF95E0B8028E</vt:lpwstr>
  </property>
</Properties>
</file>